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8" w:rsidRPr="00FD7BF8" w:rsidRDefault="00FD7BF8" w:rsidP="00FD7BF8">
      <w:pPr>
        <w:jc w:val="center"/>
        <w:rPr>
          <w:b/>
          <w:sz w:val="28"/>
          <w:szCs w:val="28"/>
        </w:rPr>
      </w:pPr>
      <w:r w:rsidRPr="00FD7BF8">
        <w:rPr>
          <w:b/>
          <w:sz w:val="28"/>
          <w:szCs w:val="28"/>
        </w:rPr>
        <w:t>Информация</w:t>
      </w:r>
    </w:p>
    <w:p w:rsidR="00FD7BF8" w:rsidRDefault="00FD7BF8" w:rsidP="00FD7BF8">
      <w:pPr>
        <w:jc w:val="center"/>
        <w:rPr>
          <w:b/>
          <w:sz w:val="28"/>
          <w:szCs w:val="28"/>
        </w:rPr>
      </w:pPr>
      <w:r w:rsidRPr="00FD7BF8">
        <w:rPr>
          <w:b/>
          <w:sz w:val="28"/>
          <w:szCs w:val="28"/>
        </w:rPr>
        <w:t xml:space="preserve">об уровне образования, формах обучения, нормативном сроке обучения, сроке действия государственной аккредитации </w:t>
      </w:r>
    </w:p>
    <w:p w:rsidR="00975D1C" w:rsidRPr="00FD7BF8" w:rsidRDefault="00FD7BF8" w:rsidP="00FD7BF8">
      <w:pPr>
        <w:jc w:val="center"/>
        <w:rPr>
          <w:b/>
          <w:sz w:val="28"/>
          <w:szCs w:val="28"/>
        </w:rPr>
      </w:pPr>
      <w:r w:rsidRPr="00FD7BF8">
        <w:rPr>
          <w:b/>
          <w:sz w:val="28"/>
          <w:szCs w:val="28"/>
        </w:rPr>
        <w:t>образовательной программы</w:t>
      </w:r>
    </w:p>
    <w:p w:rsidR="00FD7BF8" w:rsidRDefault="00E41E9E" w:rsidP="00FD7BF8">
      <w:pPr>
        <w:jc w:val="center"/>
        <w:rPr>
          <w:sz w:val="28"/>
          <w:szCs w:val="28"/>
        </w:rPr>
      </w:pPr>
      <w:r>
        <w:rPr>
          <w:rFonts w:ascii="Open Sans" w:hAnsi="Open Sans"/>
          <w:b/>
          <w:bCs/>
          <w:color w:val="000000"/>
        </w:rPr>
        <w:t>МБОУ Михайловская СОШ №15 не реализует профессиональные образовательные программы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В соответствии со ст. 10 п.4 Федерального закона    № 273 от 29.12.2012 г. « Об образовании  в Российской Федерации» МБОУ Михайловская СОШ №15 реализует следующие уровни общего образования: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 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Начальное общее образование – нормативный срок обучения 4 года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b/>
          <w:bCs/>
          <w:color w:val="000000"/>
          <w:sz w:val="21"/>
          <w:szCs w:val="21"/>
        </w:rPr>
        <w:t>Основное общее образование – нормативный срок обучения 5 лет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b/>
          <w:bCs/>
          <w:color w:val="000000"/>
          <w:sz w:val="21"/>
          <w:szCs w:val="21"/>
        </w:rPr>
        <w:t>Среднее общее образование – нормативный срок обучения 2 года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b/>
          <w:bCs/>
          <w:color w:val="000000"/>
          <w:sz w:val="21"/>
          <w:szCs w:val="21"/>
        </w:rPr>
        <w:t>МБОУ Михайловская СОШ №15 прошла государственную аккредитацию 20 декабря 2011 года срок действия государственной аккредитации образовательных программ до 20 декабря 2023 года.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b/>
          <w:bCs/>
          <w:color w:val="000000"/>
          <w:sz w:val="21"/>
          <w:szCs w:val="21"/>
        </w:rPr>
        <w:t xml:space="preserve">Численность 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</w:rPr>
        <w:t>обучающихся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</w:rPr>
        <w:t xml:space="preserve"> по реализуемым образовательным программам за счет бюджетных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b/>
          <w:bCs/>
          <w:color w:val="000000"/>
          <w:sz w:val="21"/>
          <w:szCs w:val="21"/>
        </w:rPr>
        <w:t>ассигнований федерального бюджета 2017-2018 учебный год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tbl>
      <w:tblPr>
        <w:tblW w:w="9750" w:type="dxa"/>
        <w:shd w:val="clear" w:color="auto" w:fill="ECE2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145"/>
        <w:gridCol w:w="1695"/>
        <w:gridCol w:w="2145"/>
        <w:gridCol w:w="1065"/>
      </w:tblGrid>
      <w:tr w:rsidR="00E41E9E" w:rsidTr="00E41E9E">
        <w:tc>
          <w:tcPr>
            <w:tcW w:w="2700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4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Начальное общее</w:t>
            </w:r>
          </w:p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69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Основное общее</w:t>
            </w:r>
          </w:p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214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Среднее общее образование</w:t>
            </w:r>
          </w:p>
        </w:tc>
        <w:tc>
          <w:tcPr>
            <w:tcW w:w="106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Всего</w:t>
            </w:r>
          </w:p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41E9E" w:rsidTr="00E41E9E">
        <w:tc>
          <w:tcPr>
            <w:tcW w:w="2700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Общее количество классов/ средняя наполняемость</w:t>
            </w:r>
          </w:p>
        </w:tc>
        <w:tc>
          <w:tcPr>
            <w:tcW w:w="214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4 / 16</w:t>
            </w:r>
          </w:p>
        </w:tc>
        <w:tc>
          <w:tcPr>
            <w:tcW w:w="169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5 / 15</w:t>
            </w:r>
          </w:p>
        </w:tc>
        <w:tc>
          <w:tcPr>
            <w:tcW w:w="214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2 / 8</w:t>
            </w:r>
          </w:p>
        </w:tc>
        <w:tc>
          <w:tcPr>
            <w:tcW w:w="106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11 / 13</w:t>
            </w:r>
          </w:p>
        </w:tc>
      </w:tr>
      <w:tr w:rsidR="00E41E9E" w:rsidTr="00E41E9E">
        <w:tc>
          <w:tcPr>
            <w:tcW w:w="2700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 xml:space="preserve">Общее количество </w:t>
            </w:r>
            <w:proofErr w:type="gramStart"/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214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9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75</w:t>
            </w:r>
          </w:p>
        </w:tc>
        <w:tc>
          <w:tcPr>
            <w:tcW w:w="214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65" w:type="dxa"/>
            <w:shd w:val="clear" w:color="auto" w:fill="ECE2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E9E" w:rsidRDefault="00E41E9E">
            <w:pPr>
              <w:pStyle w:val="a3"/>
              <w:spacing w:before="134" w:beforeAutospacing="0" w:after="134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162</w:t>
            </w:r>
          </w:p>
        </w:tc>
      </w:tr>
    </w:tbl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E41E9E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rFonts w:ascii="Open Sans" w:hAnsi="Open Sans"/>
          <w:b/>
          <w:bCs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 xml:space="preserve">В соответствии со статьёй 14 п. 2 Федерального закона    № 273 от 29.12.2012 г. « Об образовании  в Российской Федерации» образовательная деятельность осуществляется  на государственном языке Русском  языке  Российской Федерации   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</w:rPr>
        <w:t xml:space="preserve">( 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</w:rPr>
        <w:t>скачать)</w:t>
      </w:r>
    </w:p>
    <w:p w:rsidR="00FD7BF8" w:rsidRPr="00FD7BF8" w:rsidRDefault="00E41E9E" w:rsidP="00E41E9E">
      <w:pPr>
        <w:pStyle w:val="a3"/>
        <w:shd w:val="clear" w:color="auto" w:fill="ECE2CE"/>
        <w:spacing w:before="134" w:beforeAutospacing="0" w:after="134" w:afterAutospacing="0"/>
        <w:rPr>
          <w:b/>
          <w:sz w:val="28"/>
          <w:szCs w:val="28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 xml:space="preserve"> </w:t>
      </w:r>
    </w:p>
    <w:sectPr w:rsidR="00FD7BF8" w:rsidRPr="00FD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EF"/>
    <w:multiLevelType w:val="hybridMultilevel"/>
    <w:tmpl w:val="EA22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C02DF"/>
    <w:multiLevelType w:val="hybridMultilevel"/>
    <w:tmpl w:val="A9A2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66974"/>
    <w:multiLevelType w:val="hybridMultilevel"/>
    <w:tmpl w:val="1120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7BF8"/>
    <w:rsid w:val="00264E49"/>
    <w:rsid w:val="00383C6F"/>
    <w:rsid w:val="00975D1C"/>
    <w:rsid w:val="00E22271"/>
    <w:rsid w:val="00E41E9E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E41E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2019-09-13T12:21:00Z</dcterms:created>
  <dcterms:modified xsi:type="dcterms:W3CDTF">2019-09-13T12:21:00Z</dcterms:modified>
</cp:coreProperties>
</file>